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405B8" w14:textId="2DB9B7E6" w:rsidR="00847F20" w:rsidRDefault="00847F20" w:rsidP="00847F20">
      <w:pPr>
        <w:pStyle w:val="CRCoverPage"/>
        <w:tabs>
          <w:tab w:val="right" w:pos="9639"/>
        </w:tabs>
        <w:spacing w:after="0"/>
        <w:rPr>
          <w:b/>
          <w:i/>
          <w:noProof/>
          <w:sz w:val="28"/>
        </w:rPr>
      </w:pPr>
      <w:bookmarkStart w:id="0" w:name="_Hlk528502858"/>
      <w:r>
        <w:rPr>
          <w:b/>
          <w:noProof/>
          <w:sz w:val="24"/>
        </w:rPr>
        <w:t>3GPP TSG-RAN WG4 Meeting #100-e</w:t>
      </w:r>
      <w:r>
        <w:rPr>
          <w:b/>
          <w:i/>
          <w:noProof/>
          <w:sz w:val="28"/>
        </w:rPr>
        <w:tab/>
      </w:r>
      <w:r w:rsidR="00EB4667" w:rsidRPr="00EB4667">
        <w:rPr>
          <w:b/>
          <w:i/>
          <w:noProof/>
          <w:sz w:val="28"/>
        </w:rPr>
        <w:t>R4-2112288</w:t>
      </w:r>
    </w:p>
    <w:p w14:paraId="079C68FF" w14:textId="77777777" w:rsidR="00847F20" w:rsidRDefault="00847F20" w:rsidP="00847F20">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bookmarkEnd w:id="0"/>
    <w:p w14:paraId="3C783893" w14:textId="77777777" w:rsidR="00B97703" w:rsidRDefault="00B97703">
      <w:pPr>
        <w:rPr>
          <w:rFonts w:ascii="Arial" w:hAnsi="Arial" w:cs="Arial"/>
        </w:rPr>
      </w:pPr>
    </w:p>
    <w:p w14:paraId="6B1F295B" w14:textId="5C78019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D5707" w:rsidRPr="00DD5707">
        <w:rPr>
          <w:rFonts w:ascii="Arial" w:hAnsi="Arial" w:cs="Arial"/>
          <w:b/>
          <w:sz w:val="22"/>
          <w:szCs w:val="22"/>
        </w:rPr>
        <w:t>New blocking requirement for Band 1 BSs for protection from RMR in 1900-1910</w:t>
      </w:r>
    </w:p>
    <w:p w14:paraId="25826C9D" w14:textId="7F09FF3D"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D5707" w:rsidRPr="00DD5707">
        <w:rPr>
          <w:rFonts w:ascii="Arial" w:hAnsi="Arial" w:cs="Arial"/>
          <w:b/>
          <w:bCs/>
          <w:sz w:val="22"/>
          <w:szCs w:val="22"/>
        </w:rPr>
        <w:t>R4-2111719</w:t>
      </w:r>
      <w:r w:rsidR="00DD5707">
        <w:rPr>
          <w:rFonts w:ascii="Arial" w:hAnsi="Arial" w:cs="Arial"/>
          <w:b/>
          <w:bCs/>
          <w:sz w:val="22"/>
          <w:szCs w:val="22"/>
        </w:rPr>
        <w:t xml:space="preserve"> </w:t>
      </w:r>
      <w:r w:rsidRPr="00B97703">
        <w:rPr>
          <w:rFonts w:ascii="Arial" w:hAnsi="Arial" w:cs="Arial"/>
          <w:b/>
          <w:bCs/>
          <w:sz w:val="22"/>
          <w:szCs w:val="22"/>
        </w:rPr>
        <w:t xml:space="preserve">on </w:t>
      </w:r>
      <w:r w:rsidR="00DD5707" w:rsidRPr="00DD5707">
        <w:rPr>
          <w:rFonts w:ascii="Arial" w:hAnsi="Arial" w:cs="Arial"/>
          <w:b/>
          <w:bCs/>
          <w:sz w:val="22"/>
          <w:szCs w:val="22"/>
        </w:rPr>
        <w:t>New blocking requirement for Band 1 BSs for protection from RMR in 1900-1910</w:t>
      </w:r>
      <w:r w:rsidR="00E91F8E">
        <w:rPr>
          <w:rFonts w:ascii="Arial" w:hAnsi="Arial" w:cs="Arial"/>
          <w:b/>
          <w:bCs/>
          <w:sz w:val="22"/>
          <w:szCs w:val="22"/>
        </w:rPr>
        <w:t xml:space="preserve"> </w:t>
      </w:r>
      <w:r w:rsidRPr="00B97703">
        <w:rPr>
          <w:rFonts w:ascii="Arial" w:hAnsi="Arial" w:cs="Arial"/>
          <w:b/>
          <w:bCs/>
          <w:sz w:val="22"/>
          <w:szCs w:val="22"/>
        </w:rPr>
        <w:t xml:space="preserve">from </w:t>
      </w:r>
      <w:r w:rsidR="00DD5707">
        <w:rPr>
          <w:rFonts w:ascii="Arial" w:hAnsi="Arial" w:cs="Arial"/>
          <w:b/>
          <w:bCs/>
          <w:sz w:val="22"/>
          <w:szCs w:val="22"/>
        </w:rPr>
        <w:t>ETSI MSG TFES</w:t>
      </w:r>
    </w:p>
    <w:p w14:paraId="178D93E3" w14:textId="35B2724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DD5707">
        <w:rPr>
          <w:rFonts w:ascii="Arial" w:hAnsi="Arial" w:cs="Arial"/>
          <w:b/>
          <w:bCs/>
          <w:sz w:val="22"/>
          <w:szCs w:val="22"/>
        </w:rPr>
        <w:t>-</w:t>
      </w:r>
    </w:p>
    <w:bookmarkEnd w:id="3"/>
    <w:bookmarkEnd w:id="4"/>
    <w:bookmarkEnd w:id="5"/>
    <w:p w14:paraId="2D6F1E91" w14:textId="0A0587F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47F20">
        <w:rPr>
          <w:rFonts w:ascii="Arial" w:hAnsi="Arial" w:cs="Arial"/>
          <w:b/>
          <w:bCs/>
          <w:sz w:val="22"/>
          <w:szCs w:val="22"/>
        </w:rPr>
        <w:t>-</w:t>
      </w:r>
    </w:p>
    <w:p w14:paraId="1AF475DF" w14:textId="77777777" w:rsidR="00B97703" w:rsidRPr="004E3939" w:rsidRDefault="00B97703">
      <w:pPr>
        <w:spacing w:after="60"/>
        <w:ind w:left="1985" w:hanging="1985"/>
        <w:rPr>
          <w:rFonts w:ascii="Arial" w:hAnsi="Arial" w:cs="Arial"/>
          <w:b/>
          <w:sz w:val="22"/>
          <w:szCs w:val="22"/>
        </w:rPr>
      </w:pPr>
    </w:p>
    <w:p w14:paraId="2F5AB3A5" w14:textId="1F12BDE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47F20">
        <w:rPr>
          <w:rFonts w:ascii="Arial" w:hAnsi="Arial" w:cs="Arial"/>
          <w:b/>
          <w:sz w:val="22"/>
          <w:szCs w:val="22"/>
        </w:rPr>
        <w:t>TSG RAN WG4</w:t>
      </w:r>
    </w:p>
    <w:p w14:paraId="45AA8D4B" w14:textId="029CA0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47F20">
        <w:rPr>
          <w:rFonts w:ascii="Arial" w:hAnsi="Arial" w:cs="Arial"/>
          <w:b/>
          <w:bCs/>
          <w:sz w:val="22"/>
          <w:szCs w:val="22"/>
        </w:rPr>
        <w:t>ETSI MSG TFES</w:t>
      </w:r>
    </w:p>
    <w:p w14:paraId="3AFB539B" w14:textId="62163BC2"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847F20" w:rsidRPr="00847F20">
        <w:rPr>
          <w:rFonts w:ascii="Arial" w:hAnsi="Arial" w:cs="Arial"/>
          <w:b/>
          <w:bCs/>
          <w:sz w:val="22"/>
          <w:szCs w:val="22"/>
        </w:rPr>
        <w:t>ETSI TC RT</w:t>
      </w:r>
    </w:p>
    <w:bookmarkEnd w:id="6"/>
    <w:bookmarkEnd w:id="7"/>
    <w:p w14:paraId="56C34796" w14:textId="77777777" w:rsidR="00B97703" w:rsidRDefault="00B97703">
      <w:pPr>
        <w:spacing w:after="60"/>
        <w:ind w:left="1985" w:hanging="1985"/>
        <w:rPr>
          <w:rFonts w:ascii="Arial" w:hAnsi="Arial" w:cs="Arial"/>
          <w:bCs/>
        </w:rPr>
      </w:pPr>
    </w:p>
    <w:p w14:paraId="15713B24" w14:textId="77777777" w:rsidR="00730F3A" w:rsidRDefault="00B97703" w:rsidP="00730F3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F3A">
        <w:rPr>
          <w:rFonts w:ascii="Arial" w:hAnsi="Arial" w:cs="Arial"/>
          <w:b/>
          <w:bCs/>
          <w:sz w:val="22"/>
          <w:szCs w:val="22"/>
        </w:rPr>
        <w:t>Johan Sköld</w:t>
      </w:r>
    </w:p>
    <w:p w14:paraId="33F68921" w14:textId="3639588D" w:rsidR="00730F3A" w:rsidRDefault="00730F3A" w:rsidP="00730F3A">
      <w:pPr>
        <w:spacing w:after="60"/>
        <w:ind w:left="1985" w:hanging="1985"/>
        <w:rPr>
          <w:rFonts w:ascii="Arial" w:hAnsi="Arial" w:cs="Arial"/>
          <w:b/>
          <w:noProof/>
          <w:sz w:val="22"/>
          <w:szCs w:val="22"/>
        </w:rPr>
      </w:pPr>
      <w:r>
        <w:rPr>
          <w:rFonts w:ascii="Arial" w:hAnsi="Arial" w:cs="Arial"/>
          <w:b/>
          <w:bCs/>
          <w:sz w:val="22"/>
          <w:szCs w:val="22"/>
        </w:rPr>
        <w:tab/>
      </w:r>
      <w:r w:rsidR="00EB4667">
        <w:rPr>
          <w:rFonts w:ascii="Arial" w:hAnsi="Arial" w:cs="Arial"/>
          <w:b/>
          <w:noProof/>
          <w:sz w:val="22"/>
          <w:szCs w:val="22"/>
        </w:rPr>
        <w:pict w14:anchorId="18927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4.5pt;height:14.25pt;visibility:visible;mso-wrap-style:square">
            <v:imagedata r:id="rId7" o:title=""/>
          </v:shape>
        </w:pict>
      </w:r>
    </w:p>
    <w:p w14:paraId="5106D70A" w14:textId="77777777" w:rsidR="00730F3A" w:rsidRDefault="00730F3A" w:rsidP="00730F3A">
      <w:pPr>
        <w:spacing w:after="60"/>
        <w:ind w:left="1985" w:hanging="1985"/>
        <w:rPr>
          <w:rFonts w:ascii="Arial" w:hAnsi="Arial" w:cs="Arial"/>
          <w:b/>
          <w:bCs/>
          <w:sz w:val="22"/>
          <w:szCs w:val="22"/>
        </w:rPr>
      </w:pPr>
    </w:p>
    <w:p w14:paraId="568F8A2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5BB2C165" w14:textId="77777777" w:rsidR="00383545" w:rsidRDefault="00383545">
      <w:pPr>
        <w:spacing w:after="60"/>
        <w:ind w:left="1985" w:hanging="1985"/>
        <w:rPr>
          <w:rFonts w:ascii="Arial" w:hAnsi="Arial" w:cs="Arial"/>
          <w:b/>
        </w:rPr>
      </w:pPr>
    </w:p>
    <w:p w14:paraId="73B21C60" w14:textId="1DE74F15" w:rsidR="00B97703" w:rsidRPr="00730F3A"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F3A" w:rsidRPr="00730F3A">
        <w:t>-</w:t>
      </w:r>
    </w:p>
    <w:p w14:paraId="12F7832B" w14:textId="77777777" w:rsidR="00B97703" w:rsidRDefault="00B97703">
      <w:pPr>
        <w:rPr>
          <w:rFonts w:ascii="Arial" w:hAnsi="Arial" w:cs="Arial"/>
        </w:rPr>
      </w:pPr>
    </w:p>
    <w:p w14:paraId="3C6FB880" w14:textId="77777777" w:rsidR="00B97703" w:rsidRDefault="000F6242" w:rsidP="00B97703">
      <w:pPr>
        <w:pStyle w:val="Heading1"/>
      </w:pPr>
      <w:r>
        <w:t>1</w:t>
      </w:r>
      <w:r w:rsidR="002F1940">
        <w:tab/>
      </w:r>
      <w:r>
        <w:t>Overall description</w:t>
      </w:r>
    </w:p>
    <w:p w14:paraId="089865B7" w14:textId="56671AAF" w:rsidR="00730F3A" w:rsidRPr="00730F3A" w:rsidRDefault="00730F3A" w:rsidP="000F6242">
      <w:r>
        <w:t>RAN WG4 would like to thank ETSI MSG TFES for the opportunity to give feedback on the</w:t>
      </w:r>
      <w:r w:rsidRPr="00730F3A">
        <w:t xml:space="preserve"> new blocking requirement for coexistence between future Railway systems and MFCN in Band 1</w:t>
      </w:r>
      <w:r>
        <w:t xml:space="preserve">. </w:t>
      </w:r>
      <w:r w:rsidR="00E91F8E">
        <w:t xml:space="preserve">TSG </w:t>
      </w:r>
      <w:r>
        <w:t>RAN</w:t>
      </w:r>
      <w:r w:rsidR="00E91F8E">
        <w:t xml:space="preserve"> </w:t>
      </w:r>
      <w:r>
        <w:t xml:space="preserve">WG4 has looked at the four issues brought up in the LS in </w:t>
      </w:r>
      <w:hyperlink r:id="rId9" w:history="1">
        <w:r w:rsidRPr="00730F3A">
          <w:rPr>
            <w:rStyle w:val="Hyperlink"/>
          </w:rPr>
          <w:t>R4-2111719</w:t>
        </w:r>
      </w:hyperlink>
      <w:r w:rsidRPr="00730F3A">
        <w:t xml:space="preserve"> (</w:t>
      </w:r>
      <w:proofErr w:type="gramStart"/>
      <w:r w:rsidRPr="00730F3A">
        <w:t>TFES(</w:t>
      </w:r>
      <w:proofErr w:type="gramEnd"/>
      <w:r w:rsidRPr="00730F3A">
        <w:t>21)000058r1) and would like to give the following feedback.</w:t>
      </w:r>
    </w:p>
    <w:p w14:paraId="05D397E7" w14:textId="77777777" w:rsidR="00730F3A" w:rsidRPr="00730F3A" w:rsidRDefault="00730F3A" w:rsidP="00730F3A">
      <w:pPr>
        <w:pStyle w:val="ListParagraph"/>
        <w:numPr>
          <w:ilvl w:val="0"/>
          <w:numId w:val="5"/>
        </w:numPr>
        <w:rPr>
          <w:b/>
          <w:bCs/>
        </w:rPr>
      </w:pPr>
      <w:r w:rsidRPr="00730F3A">
        <w:rPr>
          <w:b/>
          <w:bCs/>
        </w:rPr>
        <w:t>Is a 10 MHz EUTRA channel supported by current signal generators in the labs?</w:t>
      </w:r>
      <w:r w:rsidRPr="00730F3A">
        <w:rPr>
          <w:b/>
          <w:bCs/>
        </w:rPr>
        <w:br/>
      </w:r>
      <w:r w:rsidRPr="00730F3A">
        <w:t xml:space="preserve">Signal generators support generating all channel bandwidths in 3GPP, including 10 MHz EUTRA channel. </w:t>
      </w:r>
      <w:r w:rsidRPr="00730F3A">
        <w:br/>
      </w:r>
      <w:r w:rsidRPr="00730F3A">
        <w:rPr>
          <w:highlight w:val="yellow"/>
        </w:rPr>
        <w:t>&lt;Editor’s note: Additional feedback from test equipment vendors is expected for this question.&gt;</w:t>
      </w:r>
    </w:p>
    <w:p w14:paraId="21771B16" w14:textId="77777777" w:rsidR="00730F3A" w:rsidRPr="00E54BB3" w:rsidRDefault="00730F3A" w:rsidP="00730F3A"/>
    <w:p w14:paraId="7156EE3C" w14:textId="77777777" w:rsidR="00730F3A" w:rsidRPr="00E54BB3" w:rsidRDefault="00730F3A" w:rsidP="00730F3A">
      <w:pPr>
        <w:pStyle w:val="ListParagraph"/>
        <w:numPr>
          <w:ilvl w:val="0"/>
          <w:numId w:val="5"/>
        </w:numPr>
        <w:rPr>
          <w:b/>
          <w:bCs/>
        </w:rPr>
      </w:pPr>
      <w:r w:rsidRPr="00E54BB3">
        <w:rPr>
          <w:b/>
          <w:bCs/>
        </w:rPr>
        <w:t>Does a 10 MHz EUTRA interferer definition differ significantly from the current 5 MHz EUTRA interferer definition in TS36.104 clause 7.6.1.1 specifically table 7.6.1.1-2?</w:t>
      </w:r>
      <w:r w:rsidRPr="00E54BB3">
        <w:rPr>
          <w:b/>
          <w:bCs/>
        </w:rPr>
        <w:br/>
      </w:r>
      <w:r>
        <w:t xml:space="preserve">Except for the 10 MHz channel bandwidth and the resulting </w:t>
      </w:r>
      <w:r w:rsidRPr="00B6467E">
        <w:rPr>
          <w:i/>
          <w:iCs/>
        </w:rPr>
        <w:t>Transmission bandwidth configuration</w:t>
      </w:r>
      <w:r w:rsidRPr="00B6467E">
        <w:t xml:space="preserve"> </w:t>
      </w:r>
      <w:r>
        <w:t xml:space="preserve">of 50 PRBs, a “10 MHz E-UTRA signal” would have the same characteristics as a 5 MHz interfering signal. Further </w:t>
      </w:r>
      <w:r w:rsidRPr="002A27B6">
        <w:t>Characteristics of the interfering signals</w:t>
      </w:r>
      <w:r>
        <w:t xml:space="preserve"> are described in Annex C of TS 36.141.</w:t>
      </w:r>
      <w:r w:rsidRPr="002A27B6">
        <w:rPr>
          <w:b/>
          <w:bCs/>
        </w:rPr>
        <w:br/>
      </w:r>
    </w:p>
    <w:p w14:paraId="2EFE6C6F" w14:textId="77777777" w:rsidR="00730F3A" w:rsidRPr="00B6467E" w:rsidRDefault="00730F3A" w:rsidP="00730F3A">
      <w:pPr>
        <w:pStyle w:val="ListParagraph"/>
        <w:numPr>
          <w:ilvl w:val="0"/>
          <w:numId w:val="5"/>
        </w:numPr>
        <w:rPr>
          <w:b/>
          <w:bCs/>
        </w:rPr>
      </w:pPr>
      <w:r w:rsidRPr="00B6467E">
        <w:rPr>
          <w:b/>
          <w:bCs/>
        </w:rPr>
        <w:t xml:space="preserve">Is the measurement uncertainty for a test with -30 dBm interferer and 1 dB </w:t>
      </w:r>
      <w:proofErr w:type="spellStart"/>
      <w:r w:rsidRPr="00B6467E">
        <w:rPr>
          <w:b/>
          <w:bCs/>
        </w:rPr>
        <w:t>desens</w:t>
      </w:r>
      <w:proofErr w:type="spellEnd"/>
      <w:r w:rsidRPr="00B6467E">
        <w:rPr>
          <w:b/>
          <w:bCs/>
        </w:rPr>
        <w:t xml:space="preserve"> (option 1) different from the measurement uncertainty for a test with -19.5 dBm and 6 dB </w:t>
      </w:r>
      <w:proofErr w:type="spellStart"/>
      <w:r w:rsidRPr="00B6467E">
        <w:rPr>
          <w:b/>
          <w:bCs/>
        </w:rPr>
        <w:t>desens</w:t>
      </w:r>
      <w:proofErr w:type="spellEnd"/>
      <w:r w:rsidRPr="00B6467E">
        <w:rPr>
          <w:b/>
          <w:bCs/>
        </w:rPr>
        <w:br/>
        <w:t>(option 2) for a test of blocking performance?</w:t>
      </w:r>
      <w:r w:rsidRPr="00B6467E">
        <w:rPr>
          <w:b/>
          <w:bCs/>
        </w:rPr>
        <w:br/>
      </w:r>
      <w:r w:rsidRPr="00B6467E">
        <w:t xml:space="preserve">The test system uncertainty for </w:t>
      </w:r>
      <w:r>
        <w:t>in-band blocking requirements has contributions from wanted signal level error, interferer signal level error and interferer ACLR. It does in general not depend on the actual interferer level or the level of desensitization. See clause 4.1.2.2 of TS 36.141.</w:t>
      </w:r>
      <w:r w:rsidRPr="00B6467E">
        <w:br/>
      </w:r>
    </w:p>
    <w:p w14:paraId="7192A2E2" w14:textId="77777777" w:rsidR="00730F3A" w:rsidRPr="00E54BB3" w:rsidRDefault="00730F3A" w:rsidP="00730F3A">
      <w:pPr>
        <w:pStyle w:val="ListParagraph"/>
        <w:numPr>
          <w:ilvl w:val="0"/>
          <w:numId w:val="5"/>
        </w:numPr>
        <w:rPr>
          <w:b/>
          <w:bCs/>
        </w:rPr>
      </w:pPr>
      <w:r w:rsidRPr="00E54BB3">
        <w:rPr>
          <w:b/>
          <w:bCs/>
        </w:rPr>
        <w:t>Does the new requirement present a testing issue compared to existing blocking performance requirements?</w:t>
      </w:r>
      <w:r w:rsidRPr="00E54BB3">
        <w:rPr>
          <w:b/>
          <w:bCs/>
        </w:rPr>
        <w:br/>
      </w:r>
      <w:r>
        <w:t>The test procedure as such would be identical to the present in-band blocking test. The wider interfering signal and the change in wanted and interfering signal levels would not introduce any testing issues.</w:t>
      </w:r>
    </w:p>
    <w:p w14:paraId="217F99A9" w14:textId="77777777" w:rsidR="00730F3A" w:rsidRPr="00E54BB3" w:rsidRDefault="00730F3A" w:rsidP="00730F3A">
      <w:pPr>
        <w:pStyle w:val="BodyText"/>
        <w:rPr>
          <w:lang w:val="en-US"/>
        </w:rPr>
      </w:pPr>
    </w:p>
    <w:p w14:paraId="64805E9A" w14:textId="74B694A8" w:rsidR="00730F3A" w:rsidRPr="00730F3A" w:rsidRDefault="00730F3A" w:rsidP="000F6242">
      <w:r>
        <w:t xml:space="preserve">TSG RAN WG4 invites ETSI MSG TFES to consider the feedback in its continued work </w:t>
      </w:r>
      <w:r w:rsidRPr="00730F3A">
        <w:t xml:space="preserve">to </w:t>
      </w:r>
      <w:r>
        <w:t>define</w:t>
      </w:r>
      <w:r w:rsidRPr="00730F3A">
        <w:t xml:space="preserve"> the new </w:t>
      </w:r>
      <w:r>
        <w:t xml:space="preserve">blocking </w:t>
      </w:r>
      <w:r w:rsidRPr="00730F3A">
        <w:t>requirement for coexistence between future Railway systems and MFCN in Band 1</w:t>
      </w:r>
      <w:r>
        <w:t>.</w:t>
      </w:r>
    </w:p>
    <w:p w14:paraId="54F68F30" w14:textId="16DB8856" w:rsidR="00730F3A" w:rsidRDefault="00E91F8E" w:rsidP="00730F3A">
      <w:pPr>
        <w:pStyle w:val="Heading1"/>
        <w:rPr>
          <w:szCs w:val="36"/>
        </w:rPr>
      </w:pPr>
      <w:r>
        <w:rPr>
          <w:szCs w:val="36"/>
        </w:rPr>
        <w:lastRenderedPageBreak/>
        <w:t>2</w:t>
      </w:r>
      <w:r w:rsidR="002F1940">
        <w:rPr>
          <w:szCs w:val="36"/>
        </w:rPr>
        <w:tab/>
      </w:r>
      <w:r w:rsidR="00730F3A">
        <w:rPr>
          <w:szCs w:val="36"/>
        </w:rPr>
        <w:t xml:space="preserve">Dates of next </w:t>
      </w:r>
      <w:r w:rsidR="00730F3A">
        <w:rPr>
          <w:rFonts w:cs="Arial"/>
          <w:bCs/>
          <w:szCs w:val="36"/>
        </w:rPr>
        <w:t xml:space="preserve">TSG </w:t>
      </w:r>
      <w:r w:rsidR="00730F3A">
        <w:rPr>
          <w:rFonts w:cs="Arial"/>
          <w:szCs w:val="36"/>
        </w:rPr>
        <w:t>RAN</w:t>
      </w:r>
      <w:r w:rsidR="00730F3A">
        <w:rPr>
          <w:rFonts w:cs="Arial"/>
          <w:bCs/>
          <w:szCs w:val="36"/>
        </w:rPr>
        <w:t xml:space="preserve"> WG 4</w:t>
      </w:r>
      <w:r w:rsidR="00730F3A">
        <w:rPr>
          <w:szCs w:val="36"/>
        </w:rPr>
        <w:t xml:space="preserve"> meetings</w:t>
      </w:r>
    </w:p>
    <w:p w14:paraId="59F6D248" w14:textId="776A04FD" w:rsidR="00730F3A" w:rsidRDefault="00730F3A" w:rsidP="00730F3A">
      <w:r>
        <w:t>TSG RAN4 Meeting #101-E</w:t>
      </w:r>
      <w:r>
        <w:tab/>
        <w:t>1 – 12 November 2021</w:t>
      </w:r>
      <w:r>
        <w:tab/>
      </w:r>
      <w:r>
        <w:tab/>
        <w:t>Online</w:t>
      </w:r>
    </w:p>
    <w:p w14:paraId="394E5F9D" w14:textId="77777777" w:rsidR="00730F3A" w:rsidRDefault="00730F3A" w:rsidP="00730F3A"/>
    <w:p w14:paraId="29374D81" w14:textId="77777777" w:rsidR="00730F3A" w:rsidRDefault="00730F3A" w:rsidP="00730F3A"/>
    <w:sectPr w:rsidR="00730F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4CE54" w14:textId="77777777" w:rsidR="00433F71" w:rsidRDefault="00433F71">
      <w:pPr>
        <w:spacing w:after="0"/>
      </w:pPr>
      <w:r>
        <w:separator/>
      </w:r>
    </w:p>
  </w:endnote>
  <w:endnote w:type="continuationSeparator" w:id="0">
    <w:p w14:paraId="4E5C6467"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51C9F" w14:textId="77777777" w:rsidR="00433F71" w:rsidRDefault="00433F71">
      <w:pPr>
        <w:spacing w:after="0"/>
      </w:pPr>
      <w:r>
        <w:separator/>
      </w:r>
    </w:p>
  </w:footnote>
  <w:footnote w:type="continuationSeparator" w:id="0">
    <w:p w14:paraId="0137E0B9"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F1940"/>
    <w:rsid w:val="00383545"/>
    <w:rsid w:val="00433500"/>
    <w:rsid w:val="00433F71"/>
    <w:rsid w:val="00440D43"/>
    <w:rsid w:val="004E3939"/>
    <w:rsid w:val="00730F3A"/>
    <w:rsid w:val="007F4F92"/>
    <w:rsid w:val="00847F20"/>
    <w:rsid w:val="008D772F"/>
    <w:rsid w:val="0099764C"/>
    <w:rsid w:val="00B06DBF"/>
    <w:rsid w:val="00B97703"/>
    <w:rsid w:val="00CF6087"/>
    <w:rsid w:val="00DD5707"/>
    <w:rsid w:val="00E91F8E"/>
    <w:rsid w:val="00EB46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847F20"/>
    <w:pPr>
      <w:spacing w:after="120"/>
    </w:pPr>
    <w:rPr>
      <w:rFonts w:ascii="Arial" w:hAnsi="Arial"/>
      <w:lang w:eastAsia="en-US"/>
    </w:rPr>
  </w:style>
  <w:style w:type="paragraph" w:styleId="ListParagraph">
    <w:name w:val="List Paragraph"/>
    <w:basedOn w:val="Normal"/>
    <w:uiPriority w:val="34"/>
    <w:qFormat/>
    <w:rsid w:val="00730F3A"/>
    <w:pPr>
      <w:spacing w:after="0"/>
      <w:ind w:left="720"/>
      <w:contextualSpacing/>
    </w:pPr>
    <w:rPr>
      <w:lang w:eastAsia="en-US"/>
    </w:rPr>
  </w:style>
  <w:style w:type="character" w:styleId="UnresolvedMention">
    <w:name w:val="Unresolved Mention"/>
    <w:basedOn w:val="DefaultParagraphFont"/>
    <w:uiPriority w:val="99"/>
    <w:semiHidden/>
    <w:unhideWhenUsed/>
    <w:rsid w:val="00730F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100-e/Docs/R4-21117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2016</TotalTime>
  <Pages>2</Pages>
  <Words>449</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7</cp:revision>
  <cp:lastPrinted>2002-04-23T07:10:00Z</cp:lastPrinted>
  <dcterms:created xsi:type="dcterms:W3CDTF">2020-01-14T15:01:00Z</dcterms:created>
  <dcterms:modified xsi:type="dcterms:W3CDTF">2021-08-05T21:39:00Z</dcterms:modified>
</cp:coreProperties>
</file>